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C1" w:rsidRPr="004C0D49" w:rsidRDefault="002679C1" w:rsidP="002679C1">
      <w:pPr>
        <w:jc w:val="center"/>
        <w:rPr>
          <w:rFonts w:ascii="Century Gothic" w:hAnsi="Century Gothic"/>
          <w:b/>
          <w:sz w:val="24"/>
          <w:szCs w:val="24"/>
          <w:lang w:val="en"/>
        </w:rPr>
      </w:pPr>
      <w:r w:rsidRPr="004C0D49">
        <w:rPr>
          <w:rFonts w:ascii="Century Gothic" w:hAnsi="Century Gothic"/>
          <w:b/>
          <w:sz w:val="24"/>
          <w:szCs w:val="24"/>
          <w:lang w:val="en"/>
        </w:rPr>
        <w:t>Nelson Riddle</w:t>
      </w:r>
    </w:p>
    <w:p w:rsidR="00EA44DA" w:rsidRPr="004C0D49" w:rsidRDefault="00EA44DA" w:rsidP="001C432D">
      <w:pPr>
        <w:pStyle w:val="NoSpacing"/>
        <w:rPr>
          <w:rFonts w:ascii="Century Gothic" w:hAnsi="Century Gothic"/>
          <w:sz w:val="24"/>
          <w:szCs w:val="24"/>
        </w:rPr>
      </w:pPr>
      <w:r w:rsidRPr="004C0D49">
        <w:rPr>
          <w:rFonts w:ascii="Century Gothic" w:hAnsi="Century Gothic"/>
          <w:sz w:val="24"/>
          <w:szCs w:val="24"/>
        </w:rPr>
        <w:t xml:space="preserve">Nelson </w:t>
      </w:r>
      <w:r w:rsidR="001C432D" w:rsidRPr="004C0D49">
        <w:rPr>
          <w:rFonts w:ascii="Century Gothic" w:hAnsi="Century Gothic"/>
          <w:sz w:val="24"/>
          <w:szCs w:val="24"/>
        </w:rPr>
        <w:t>Alfred Milton Riddle, born and baptised </w:t>
      </w:r>
      <w:r w:rsidRPr="004C0D49">
        <w:rPr>
          <w:rFonts w:ascii="Century Gothic" w:hAnsi="Century Gothic"/>
          <w:sz w:val="24"/>
          <w:szCs w:val="24"/>
        </w:rPr>
        <w:t xml:space="preserve">in 1877 in Hastings, Sussex was the son of John Milton and Eliza Julia Anne </w:t>
      </w:r>
      <w:r w:rsidRPr="004C0D49">
        <w:rPr>
          <w:rStyle w:val="srchmatch"/>
          <w:rFonts w:ascii="Century Gothic" w:hAnsi="Century Gothic"/>
          <w:sz w:val="24"/>
          <w:szCs w:val="24"/>
        </w:rPr>
        <w:t>Riddle.</w:t>
      </w:r>
      <w:r w:rsidRPr="004C0D49">
        <w:rPr>
          <w:rFonts w:ascii="Century Gothic" w:hAnsi="Century Gothic"/>
          <w:sz w:val="24"/>
          <w:szCs w:val="24"/>
        </w:rPr>
        <w:t xml:space="preserve"> He was brought up by his mother and grandparents in Hastings. He spent a period in the Royal Navy and at the time of the 1901 census he was aged </w:t>
      </w:r>
      <w:r w:rsidR="00AC663B" w:rsidRPr="004C0D49">
        <w:rPr>
          <w:rFonts w:ascii="Century Gothic" w:hAnsi="Century Gothic"/>
          <w:sz w:val="24"/>
          <w:szCs w:val="24"/>
        </w:rPr>
        <w:t>24 and in Sydney, Australia,</w:t>
      </w:r>
      <w:r w:rsidRPr="004C0D49">
        <w:rPr>
          <w:rFonts w:ascii="Century Gothic" w:hAnsi="Century Gothic"/>
          <w:sz w:val="24"/>
          <w:szCs w:val="24"/>
        </w:rPr>
        <w:t xml:space="preserve"> aboard the Royal Naval vessel, </w:t>
      </w:r>
      <w:r w:rsidRPr="004C0D49">
        <w:rPr>
          <w:rFonts w:ascii="Century Gothic" w:hAnsi="Century Gothic"/>
          <w:i/>
          <w:sz w:val="24"/>
          <w:szCs w:val="24"/>
        </w:rPr>
        <w:t>HMS Royal Arthur</w:t>
      </w:r>
      <w:r w:rsidRPr="004C0D49">
        <w:rPr>
          <w:rFonts w:ascii="Century Gothic" w:hAnsi="Century Gothic"/>
          <w:sz w:val="24"/>
          <w:szCs w:val="24"/>
        </w:rPr>
        <w:t xml:space="preserve">, which served as the flagship of the </w:t>
      </w:r>
      <w:hyperlink r:id="rId6" w:tooltip="Australian Station" w:history="1">
        <w:r w:rsidRPr="004C0D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Australian Station</w:t>
        </w:r>
      </w:hyperlink>
      <w:r w:rsidRPr="004C0D49">
        <w:rPr>
          <w:rFonts w:ascii="Century Gothic" w:hAnsi="Century Gothic"/>
          <w:sz w:val="24"/>
          <w:szCs w:val="24"/>
        </w:rPr>
        <w:t xml:space="preserve"> and provided escort for the </w:t>
      </w:r>
      <w:hyperlink r:id="rId7" w:tooltip="SS Ophir" w:history="1">
        <w:r w:rsidRPr="004C0D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 xml:space="preserve">Royal Yacht </w:t>
        </w:r>
        <w:proofErr w:type="spellStart"/>
        <w:r w:rsidRPr="004C0D49">
          <w:rPr>
            <w:rStyle w:val="Hyperlink"/>
            <w:rFonts w:ascii="Century Gothic" w:hAnsi="Century Gothic"/>
            <w:i/>
            <w:color w:val="auto"/>
            <w:sz w:val="24"/>
            <w:szCs w:val="24"/>
            <w:u w:val="none"/>
          </w:rPr>
          <w:t>Ophir</w:t>
        </w:r>
        <w:proofErr w:type="spellEnd"/>
      </w:hyperlink>
      <w:r w:rsidRPr="004C0D49">
        <w:rPr>
          <w:rFonts w:ascii="Century Gothic" w:hAnsi="Century Gothic"/>
          <w:sz w:val="24"/>
          <w:szCs w:val="24"/>
        </w:rPr>
        <w:t xml:space="preserve"> carrying the Duke and Duchess of Cornwall and York (the future </w:t>
      </w:r>
      <w:hyperlink r:id="rId8" w:tooltip="George V of the United Kingdom" w:history="1">
        <w:r w:rsidRPr="004C0D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King George V</w:t>
        </w:r>
      </w:hyperlink>
      <w:r w:rsidRPr="004C0D49">
        <w:rPr>
          <w:rFonts w:ascii="Century Gothic" w:hAnsi="Century Gothic"/>
          <w:sz w:val="24"/>
          <w:szCs w:val="24"/>
        </w:rPr>
        <w:t xml:space="preserve"> and </w:t>
      </w:r>
      <w:hyperlink r:id="rId9" w:tooltip="Mary of Teck" w:history="1">
        <w:r w:rsidRPr="004C0D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Queen Mary</w:t>
        </w:r>
      </w:hyperlink>
      <w:r w:rsidRPr="004C0D49">
        <w:rPr>
          <w:rFonts w:ascii="Century Gothic" w:hAnsi="Century Gothic"/>
          <w:sz w:val="24"/>
          <w:szCs w:val="24"/>
        </w:rPr>
        <w:t xml:space="preserve">) to Australia to open the </w:t>
      </w:r>
      <w:hyperlink r:id="rId10" w:anchor="History" w:tooltip="Parliament of Australia" w:history="1">
        <w:r w:rsidRPr="004C0D49">
          <w:rPr>
            <w:rStyle w:val="Hyperlink"/>
            <w:rFonts w:ascii="Century Gothic" w:hAnsi="Century Gothic"/>
            <w:color w:val="auto"/>
            <w:sz w:val="24"/>
            <w:szCs w:val="24"/>
            <w:u w:val="none"/>
          </w:rPr>
          <w:t>new Federal Parliament</w:t>
        </w:r>
      </w:hyperlink>
      <w:r w:rsidRPr="004C0D49">
        <w:rPr>
          <w:rFonts w:ascii="Century Gothic" w:hAnsi="Century Gothic"/>
          <w:sz w:val="24"/>
          <w:szCs w:val="24"/>
        </w:rPr>
        <w:t xml:space="preserve"> in 1901.</w:t>
      </w:r>
    </w:p>
    <w:p w:rsidR="00AC663B" w:rsidRPr="004C0D49" w:rsidRDefault="00AC663B" w:rsidP="001C432D">
      <w:pPr>
        <w:pStyle w:val="NoSpacing"/>
        <w:rPr>
          <w:rFonts w:ascii="Century Gothic" w:hAnsi="Century Gothic"/>
          <w:color w:val="282828"/>
          <w:sz w:val="24"/>
          <w:szCs w:val="24"/>
          <w:lang w:val="en"/>
        </w:rPr>
      </w:pPr>
    </w:p>
    <w:p w:rsidR="001C432D" w:rsidRPr="004C0D49" w:rsidRDefault="001C432D" w:rsidP="001C432D">
      <w:pPr>
        <w:pStyle w:val="NoSpacing"/>
        <w:rPr>
          <w:rFonts w:ascii="Century Gothic" w:hAnsi="Century Gothic"/>
          <w:color w:val="282828"/>
          <w:sz w:val="24"/>
          <w:szCs w:val="24"/>
          <w:lang w:val="en"/>
        </w:rPr>
      </w:pP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In 1905 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Nelson Riddle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ma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rried Elizabeth </w:t>
      </w:r>
      <w:proofErr w:type="spellStart"/>
      <w:r w:rsidRPr="004C0D49">
        <w:rPr>
          <w:rFonts w:ascii="Century Gothic" w:hAnsi="Century Gothic"/>
          <w:color w:val="282828"/>
          <w:sz w:val="24"/>
          <w:szCs w:val="24"/>
          <w:lang w:val="en"/>
        </w:rPr>
        <w:t>Tillyard</w:t>
      </w:r>
      <w:proofErr w:type="spellEnd"/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and at the time of the 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1911 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was resident at 119 Vicarage Road, Watford. In 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August 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>1914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he</w:t>
      </w:r>
      <w:r w:rsidRPr="004C0D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attested at Watford for the 3rd (Special Reserve) Battalion, Bedfordshire Regiment and landed in France on 8 November 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>as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Private 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3/7646 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>with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the 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2</w:t>
      </w:r>
      <w:r w:rsidR="002679C1" w:rsidRPr="004C0D49">
        <w:rPr>
          <w:rFonts w:ascii="Century Gothic" w:hAnsi="Century Gothic"/>
          <w:color w:val="282828"/>
          <w:sz w:val="24"/>
          <w:szCs w:val="24"/>
          <w:vertAlign w:val="superscript"/>
          <w:lang w:val="en"/>
        </w:rPr>
        <w:t>nd</w:t>
      </w:r>
      <w:r w:rsidR="00AC663B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B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attalion 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Bedfordshire Regiment. He was awarded the DCM 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for bravery as a non-commissioner officer, while participating in the Battle of </w:t>
      </w:r>
      <w:proofErr w:type="spellStart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Festubert</w:t>
      </w:r>
      <w:proofErr w:type="spellEnd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.</w:t>
      </w:r>
      <w:r w:rsidR="00EA44DA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</w:t>
      </w:r>
      <w:r w:rsidRPr="004C0D49">
        <w:rPr>
          <w:rFonts w:ascii="Century Gothic" w:eastAsia="Times New Roman" w:hAnsi="Century Gothic" w:cs="Times New Roman"/>
          <w:i/>
          <w:sz w:val="24"/>
          <w:szCs w:val="24"/>
          <w:lang w:eastAsia="en-GB"/>
        </w:rPr>
        <w:t>The London Gazette</w:t>
      </w:r>
      <w:r w:rsidRPr="004C0D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supplement notification of the award of DCM was 14th January 1916 and citation 11th March 1916. The Citation fo</w:t>
      </w:r>
      <w:r w:rsidR="00AC663B" w:rsidRPr="004C0D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r DCM reads: </w:t>
      </w:r>
      <w:r w:rsidRPr="004C0D49">
        <w:rPr>
          <w:rFonts w:ascii="Century Gothic" w:eastAsia="Times New Roman" w:hAnsi="Century Gothic" w:cs="Times New Roman"/>
          <w:sz w:val="24"/>
          <w:szCs w:val="24"/>
          <w:lang w:eastAsia="en-GB"/>
        </w:rPr>
        <w:t xml:space="preserve"> ‘For conspicuous gallantry.  After his non-commissioned officers had all been put out of action, he took charge of the platoon and led it to the attack with bravery and judgement.’ </w:t>
      </w:r>
    </w:p>
    <w:p w:rsidR="00EA44DA" w:rsidRPr="004C0D49" w:rsidRDefault="00EA44DA" w:rsidP="001C432D">
      <w:pPr>
        <w:pStyle w:val="NoSpacing"/>
        <w:rPr>
          <w:rFonts w:ascii="Century Gothic" w:hAnsi="Century Gothic"/>
          <w:color w:val="282828"/>
          <w:sz w:val="24"/>
          <w:szCs w:val="24"/>
          <w:lang w:val="en"/>
        </w:rPr>
      </w:pP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>He was killed in action on 12 October 1916. He is reme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mbered with </w:t>
      </w:r>
      <w:proofErr w:type="spellStart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honour</w:t>
      </w:r>
      <w:proofErr w:type="spellEnd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at </w:t>
      </w:r>
      <w:proofErr w:type="spellStart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Thiepval</w:t>
      </w:r>
      <w:proofErr w:type="spellEnd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M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>emorial to the Missing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, Pier and Face 2C. He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is commemorated on the memoria</w:t>
      </w:r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l at St Matthew’s Church, </w:t>
      </w:r>
      <w:proofErr w:type="spellStart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>Oxhey</w:t>
      </w:r>
      <w:proofErr w:type="spellEnd"/>
      <w:r w:rsidR="002679C1"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in Hertfordshire and on the Hastings and St Leonard’s War Memorial.</w:t>
      </w:r>
      <w:r w:rsidRPr="004C0D49">
        <w:rPr>
          <w:rFonts w:ascii="Century Gothic" w:hAnsi="Century Gothic"/>
          <w:color w:val="282828"/>
          <w:sz w:val="24"/>
          <w:szCs w:val="24"/>
          <w:lang w:val="en"/>
        </w:rPr>
        <w:t xml:space="preserve">    </w:t>
      </w:r>
    </w:p>
    <w:p w:rsidR="00AC663B" w:rsidRPr="004C0D49" w:rsidRDefault="00AC663B" w:rsidP="001C432D">
      <w:pPr>
        <w:pStyle w:val="NoSpacing"/>
        <w:rPr>
          <w:rFonts w:ascii="Century Gothic" w:hAnsi="Century Gothic"/>
          <w:color w:val="282828"/>
          <w:sz w:val="24"/>
          <w:szCs w:val="24"/>
          <w:lang w:val="en"/>
        </w:rPr>
      </w:pPr>
    </w:p>
    <w:p w:rsidR="00AC663B" w:rsidRPr="004C0D49" w:rsidRDefault="00AC663B" w:rsidP="001C432D">
      <w:pPr>
        <w:pStyle w:val="NoSpacing"/>
        <w:rPr>
          <w:color w:val="282828"/>
          <w:sz w:val="24"/>
          <w:szCs w:val="24"/>
          <w:lang w:val="en"/>
        </w:rPr>
      </w:pPr>
    </w:p>
    <w:p w:rsidR="00670AC5" w:rsidRPr="004C0D49" w:rsidRDefault="00746AA1" w:rsidP="004C0D49">
      <w:pPr>
        <w:jc w:val="center"/>
        <w:rPr>
          <w:rFonts w:ascii="Century Gothic" w:hAnsi="Century Gothic"/>
          <w:color w:val="282828"/>
          <w:sz w:val="28"/>
          <w:szCs w:val="28"/>
          <w:lang w:val="en"/>
        </w:rPr>
      </w:pPr>
      <w:bookmarkStart w:id="0" w:name="_GoBack"/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124DAA70" wp14:editId="4890394B">
            <wp:extent cx="1431925" cy="2545080"/>
            <wp:effectExtent l="0" t="0" r="0" b="7620"/>
            <wp:docPr id="2" name="Picture 2" descr="DistinguishedConductMedalUKRev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stinguishedConductMedalUKRev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54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 wp14:anchorId="5FF2CB56" wp14:editId="006F7AF6">
            <wp:extent cx="1431925" cy="2441575"/>
            <wp:effectExtent l="0" t="0" r="0" b="0"/>
            <wp:docPr id="7" name="Picture 7" descr="DistinguishedConductMedalUKObv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inguishedConductMedalUKObv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244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AC5" w:rsidRDefault="00670AC5" w:rsidP="005A4C79">
      <w:pPr>
        <w:jc w:val="center"/>
      </w:pPr>
    </w:p>
    <w:p w:rsidR="00670AC5" w:rsidRDefault="00670AC5" w:rsidP="005A4C79">
      <w:pPr>
        <w:jc w:val="center"/>
      </w:pPr>
    </w:p>
    <w:sectPr w:rsidR="00670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BD"/>
    <w:rsid w:val="001C432D"/>
    <w:rsid w:val="002679C1"/>
    <w:rsid w:val="00327B46"/>
    <w:rsid w:val="004C0D49"/>
    <w:rsid w:val="004F1CEA"/>
    <w:rsid w:val="005A4C79"/>
    <w:rsid w:val="00661712"/>
    <w:rsid w:val="00670AC5"/>
    <w:rsid w:val="00746AA1"/>
    <w:rsid w:val="00771EE0"/>
    <w:rsid w:val="00AC663B"/>
    <w:rsid w:val="00D44B49"/>
    <w:rsid w:val="00EA44DA"/>
    <w:rsid w:val="00F2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B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BD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EA44DA"/>
  </w:style>
  <w:style w:type="character" w:styleId="Hyperlink">
    <w:name w:val="Hyperlink"/>
    <w:basedOn w:val="DefaultParagraphFont"/>
    <w:uiPriority w:val="99"/>
    <w:semiHidden/>
    <w:unhideWhenUsed/>
    <w:rsid w:val="00EA4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BD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6BD"/>
    <w:rPr>
      <w:rFonts w:ascii="Tahoma" w:hAnsi="Tahoma" w:cs="Tahoma"/>
      <w:iCs/>
      <w:sz w:val="16"/>
      <w:szCs w:val="16"/>
    </w:rPr>
  </w:style>
  <w:style w:type="character" w:customStyle="1" w:styleId="srchmatch">
    <w:name w:val="srchmatch"/>
    <w:basedOn w:val="DefaultParagraphFont"/>
    <w:rsid w:val="00EA44DA"/>
  </w:style>
  <w:style w:type="character" w:styleId="Hyperlink">
    <w:name w:val="Hyperlink"/>
    <w:basedOn w:val="DefaultParagraphFont"/>
    <w:uiPriority w:val="99"/>
    <w:semiHidden/>
    <w:unhideWhenUsed/>
    <w:rsid w:val="00EA4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33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7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71723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49318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eorge_V_of_the_United_Kingdom" TargetMode="External"/><Relationship Id="rId13" Type="http://schemas.openxmlformats.org/officeDocument/2006/relationships/hyperlink" Target="http://en.wikipedia.org/wiki/File:DistinguishedConductMedalUKObv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SS_Ophir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ustralian_Station" TargetMode="External"/><Relationship Id="rId11" Type="http://schemas.openxmlformats.org/officeDocument/2006/relationships/hyperlink" Target="http://en.wikipedia.org/wiki/File:DistinguishedConductMedalUKRev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n.wikipedia.org/wiki/Parliament_of_Austral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Mary_of_Teck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2015-02-16T17:19:00Z</dcterms:created>
  <dcterms:modified xsi:type="dcterms:W3CDTF">2015-04-16T12:56:00Z</dcterms:modified>
</cp:coreProperties>
</file>